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473A5C" w:rsidRDefault="00473A5C" w:rsidP="00974F79">
      <w:pPr>
        <w:spacing w:after="0" w:line="480" w:lineRule="auto"/>
        <w:jc w:val="center"/>
        <w:rPr>
          <w:rFonts w:ascii="Times New Roman" w:hAnsi="Times New Roman" w:cs="Times New Roman"/>
          <w:sz w:val="24"/>
          <w:szCs w:val="24"/>
        </w:rPr>
      </w:pPr>
    </w:p>
    <w:p w:rsidR="00C64859" w:rsidRPr="00974F79" w:rsidRDefault="00793A01" w:rsidP="00974F79">
      <w:pPr>
        <w:spacing w:after="0" w:line="480" w:lineRule="auto"/>
        <w:jc w:val="center"/>
        <w:rPr>
          <w:rFonts w:ascii="Times New Roman" w:hAnsi="Times New Roman" w:cs="Times New Roman"/>
          <w:sz w:val="24"/>
          <w:szCs w:val="24"/>
        </w:rPr>
      </w:pPr>
      <w:r w:rsidRPr="00974F79">
        <w:rPr>
          <w:rFonts w:ascii="Times New Roman" w:hAnsi="Times New Roman" w:cs="Times New Roman"/>
          <w:sz w:val="24"/>
          <w:szCs w:val="24"/>
        </w:rPr>
        <w:t>Mid-Term Questions</w:t>
      </w:r>
    </w:p>
    <w:p w:rsidR="00706B5C" w:rsidRPr="00974F79" w:rsidRDefault="00793A01" w:rsidP="00974F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74F79">
        <w:rPr>
          <w:rFonts w:ascii="Times New Roman" w:hAnsi="Times New Roman" w:cs="Times New Roman"/>
          <w:sz w:val="24"/>
          <w:szCs w:val="24"/>
        </w:rPr>
        <w:t>Name</w:t>
      </w:r>
    </w:p>
    <w:p w:rsidR="00706B5C" w:rsidRPr="00974F79" w:rsidRDefault="00793A01" w:rsidP="001A78BA">
      <w:pPr>
        <w:spacing w:after="0" w:line="480" w:lineRule="auto"/>
        <w:jc w:val="center"/>
        <w:rPr>
          <w:rFonts w:ascii="Times New Roman" w:hAnsi="Times New Roman" w:cs="Times New Roman"/>
          <w:sz w:val="24"/>
          <w:szCs w:val="24"/>
        </w:rPr>
      </w:pPr>
      <w:r w:rsidRPr="00974F79">
        <w:rPr>
          <w:rFonts w:ascii="Times New Roman" w:hAnsi="Times New Roman" w:cs="Times New Roman"/>
          <w:sz w:val="24"/>
          <w:szCs w:val="24"/>
        </w:rPr>
        <w:t>Institutional Affiliation</w:t>
      </w:r>
      <w:r w:rsidR="00473A5C">
        <w:rPr>
          <w:rFonts w:ascii="Times New Roman" w:hAnsi="Times New Roman" w:cs="Times New Roman"/>
          <w:sz w:val="24"/>
          <w:szCs w:val="24"/>
        </w:rPr>
        <w:t>s</w:t>
      </w:r>
    </w:p>
    <w:p w:rsidR="001A78BA" w:rsidRDefault="00793A01" w:rsidP="00974F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06B5C" w:rsidRPr="00974F79" w:rsidRDefault="00793A01" w:rsidP="00974F79">
      <w:pPr>
        <w:spacing w:after="0" w:line="480" w:lineRule="auto"/>
        <w:jc w:val="center"/>
        <w:rPr>
          <w:rFonts w:ascii="Times New Roman" w:hAnsi="Times New Roman" w:cs="Times New Roman"/>
          <w:sz w:val="24"/>
          <w:szCs w:val="24"/>
        </w:rPr>
      </w:pPr>
      <w:r w:rsidRPr="00974F79">
        <w:rPr>
          <w:rFonts w:ascii="Times New Roman" w:hAnsi="Times New Roman" w:cs="Times New Roman"/>
          <w:sz w:val="24"/>
          <w:szCs w:val="24"/>
        </w:rPr>
        <w:lastRenderedPageBreak/>
        <w:t>Mid-Term Questions</w:t>
      </w:r>
    </w:p>
    <w:p w:rsidR="00884C2D" w:rsidRPr="00FE7878" w:rsidRDefault="00793A01" w:rsidP="00FE7878">
      <w:pPr>
        <w:pStyle w:val="ListParagraph"/>
        <w:numPr>
          <w:ilvl w:val="0"/>
          <w:numId w:val="1"/>
        </w:numPr>
        <w:spacing w:after="0" w:line="480" w:lineRule="auto"/>
        <w:rPr>
          <w:rFonts w:ascii="Times New Roman" w:hAnsi="Times New Roman" w:cs="Times New Roman"/>
          <w:b/>
          <w:sz w:val="24"/>
          <w:szCs w:val="24"/>
        </w:rPr>
      </w:pPr>
      <w:r w:rsidRPr="00FE7878">
        <w:rPr>
          <w:rFonts w:ascii="Times New Roman" w:hAnsi="Times New Roman" w:cs="Times New Roman"/>
          <w:b/>
          <w:sz w:val="24"/>
          <w:szCs w:val="24"/>
        </w:rPr>
        <w:t>Under what circumstances are different federal courts bound by conflicting interpretations of</w:t>
      </w:r>
      <w:r w:rsidR="00F769CB" w:rsidRPr="00FE7878">
        <w:rPr>
          <w:rFonts w:ascii="Times New Roman" w:hAnsi="Times New Roman" w:cs="Times New Roman"/>
          <w:b/>
          <w:sz w:val="24"/>
          <w:szCs w:val="24"/>
        </w:rPr>
        <w:t xml:space="preserve"> </w:t>
      </w:r>
      <w:r w:rsidRPr="00FE7878">
        <w:rPr>
          <w:rFonts w:ascii="Times New Roman" w:hAnsi="Times New Roman" w:cs="Times New Roman"/>
          <w:b/>
          <w:sz w:val="24"/>
          <w:szCs w:val="24"/>
        </w:rPr>
        <w:t xml:space="preserve">the same law? How can such disagreements be resolved? If </w:t>
      </w:r>
      <w:r w:rsidRPr="00FE7878">
        <w:rPr>
          <w:rFonts w:ascii="Times New Roman" w:hAnsi="Times New Roman" w:cs="Times New Roman"/>
          <w:b/>
          <w:sz w:val="24"/>
          <w:szCs w:val="24"/>
        </w:rPr>
        <w:t>possible, identify a current instance.</w:t>
      </w:r>
    </w:p>
    <w:p w:rsidR="008E5BB5"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 xml:space="preserve">Different circumstances make various federal courts conflict in interpretation of the same law.  </w:t>
      </w:r>
      <w:r w:rsidR="00035A55" w:rsidRPr="00974F79">
        <w:rPr>
          <w:rFonts w:ascii="Times New Roman" w:hAnsi="Times New Roman" w:cs="Times New Roman"/>
          <w:sz w:val="24"/>
          <w:szCs w:val="24"/>
        </w:rPr>
        <w:t xml:space="preserve">A significant conflict between courts of appeal is considered a key importance to the federal judiciary. </w:t>
      </w:r>
      <w:r w:rsidR="005203C7" w:rsidRPr="00974F79">
        <w:rPr>
          <w:rFonts w:ascii="Times New Roman" w:hAnsi="Times New Roman" w:cs="Times New Roman"/>
          <w:sz w:val="24"/>
          <w:szCs w:val="24"/>
        </w:rPr>
        <w:t>It is important to note that when circuits split, federal law is used differently in various parts of the state. Research indicates that federal courts decide more than 50,000 cases each year</w:t>
      </w:r>
      <w:r w:rsidR="00CC4FD1" w:rsidRPr="00974F79">
        <w:rPr>
          <w:rFonts w:ascii="Times New Roman" w:hAnsi="Times New Roman" w:cs="Times New Roman"/>
          <w:sz w:val="24"/>
          <w:szCs w:val="24"/>
        </w:rPr>
        <w:t xml:space="preserve"> (</w:t>
      </w:r>
      <w:r w:rsidR="009201DC" w:rsidRPr="00974F79">
        <w:rPr>
          <w:rFonts w:ascii="Times New Roman" w:hAnsi="Times New Roman" w:cs="Times New Roman"/>
          <w:sz w:val="24"/>
          <w:szCs w:val="24"/>
        </w:rPr>
        <w:t>Beim</w:t>
      </w:r>
      <w:r w:rsidR="00CC4FD1" w:rsidRPr="00974F79">
        <w:rPr>
          <w:rFonts w:ascii="Times New Roman" w:hAnsi="Times New Roman" w:cs="Times New Roman"/>
          <w:sz w:val="24"/>
          <w:szCs w:val="24"/>
        </w:rPr>
        <w:t xml:space="preserve"> &amp; Rader, 2015)</w:t>
      </w:r>
      <w:r w:rsidR="005203C7" w:rsidRPr="00974F79">
        <w:rPr>
          <w:rFonts w:ascii="Times New Roman" w:hAnsi="Times New Roman" w:cs="Times New Roman"/>
          <w:sz w:val="24"/>
          <w:szCs w:val="24"/>
        </w:rPr>
        <w:t xml:space="preserve">. Therefore, in disposing of cases within its jurisdiction, </w:t>
      </w:r>
      <w:r w:rsidR="00F26563" w:rsidRPr="00974F79">
        <w:rPr>
          <w:rFonts w:ascii="Times New Roman" w:hAnsi="Times New Roman" w:cs="Times New Roman"/>
          <w:sz w:val="24"/>
          <w:szCs w:val="24"/>
        </w:rPr>
        <w:t xml:space="preserve">a specific circuit court is not responsible to follow the precedent that is binding in any other circuit. </w:t>
      </w:r>
      <w:r w:rsidR="00DC5705" w:rsidRPr="00974F79">
        <w:rPr>
          <w:rFonts w:ascii="Times New Roman" w:hAnsi="Times New Roman" w:cs="Times New Roman"/>
          <w:sz w:val="24"/>
          <w:szCs w:val="24"/>
        </w:rPr>
        <w:t xml:space="preserve">In this case, a conflicting interpretation of the same law is experienced when a federal court declines to follow available circuits’ decisions. Notably, this creates a circuit split or even a conflict where </w:t>
      </w:r>
      <w:r w:rsidR="003B424C" w:rsidRPr="00974F79">
        <w:rPr>
          <w:rFonts w:ascii="Times New Roman" w:hAnsi="Times New Roman" w:cs="Times New Roman"/>
          <w:sz w:val="24"/>
          <w:szCs w:val="24"/>
        </w:rPr>
        <w:t>similarly situated</w:t>
      </w:r>
      <w:r w:rsidR="00DC5705" w:rsidRPr="00974F79">
        <w:rPr>
          <w:rFonts w:ascii="Times New Roman" w:hAnsi="Times New Roman" w:cs="Times New Roman"/>
          <w:sz w:val="24"/>
          <w:szCs w:val="24"/>
        </w:rPr>
        <w:t xml:space="preserve"> litigants are treated differently in various circuits. </w:t>
      </w:r>
      <w:r w:rsidR="005203C7" w:rsidRPr="00974F79">
        <w:rPr>
          <w:rFonts w:ascii="Times New Roman" w:hAnsi="Times New Roman" w:cs="Times New Roman"/>
          <w:sz w:val="24"/>
          <w:szCs w:val="24"/>
        </w:rPr>
        <w:t xml:space="preserve"> </w:t>
      </w:r>
    </w:p>
    <w:p w:rsidR="003B424C"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Additionally, a conflicting interpretation of the same law mig</w:t>
      </w:r>
      <w:r w:rsidRPr="00974F79">
        <w:rPr>
          <w:rFonts w:ascii="Times New Roman" w:hAnsi="Times New Roman" w:cs="Times New Roman"/>
          <w:sz w:val="24"/>
          <w:szCs w:val="24"/>
        </w:rPr>
        <w:t xml:space="preserve">ht take place when judges across circuits might have various preferences over doctrine. </w:t>
      </w:r>
      <w:r w:rsidR="004F5052" w:rsidRPr="00974F79">
        <w:rPr>
          <w:rFonts w:ascii="Times New Roman" w:hAnsi="Times New Roman" w:cs="Times New Roman"/>
          <w:sz w:val="24"/>
          <w:szCs w:val="24"/>
        </w:rPr>
        <w:t xml:space="preserve">For instance, judges might experience informational asymmetries relying on the specific cases that arise within their jurisdictions or on the specific arguments litigants make. </w:t>
      </w:r>
      <w:r w:rsidR="00415ED3" w:rsidRPr="00974F79">
        <w:rPr>
          <w:rFonts w:ascii="Times New Roman" w:hAnsi="Times New Roman" w:cs="Times New Roman"/>
          <w:sz w:val="24"/>
          <w:szCs w:val="24"/>
        </w:rPr>
        <w:t xml:space="preserve">Specifically, this is true when there is no clear Supreme Court precedent. </w:t>
      </w:r>
      <w:r w:rsidR="003B54C0" w:rsidRPr="00974F79">
        <w:rPr>
          <w:rFonts w:ascii="Times New Roman" w:hAnsi="Times New Roman" w:cs="Times New Roman"/>
          <w:sz w:val="24"/>
          <w:szCs w:val="24"/>
        </w:rPr>
        <w:t>At this point, evidence is mixed as to what consideration Courts of Appeal judges give to precedents in other circuits</w:t>
      </w:r>
      <w:r w:rsidR="008D7720" w:rsidRPr="00974F79">
        <w:rPr>
          <w:rFonts w:ascii="Times New Roman" w:hAnsi="Times New Roman" w:cs="Times New Roman"/>
          <w:sz w:val="24"/>
          <w:szCs w:val="24"/>
        </w:rPr>
        <w:t xml:space="preserve"> (Beim &amp; Rader, 2015)</w:t>
      </w:r>
      <w:r w:rsidR="003B54C0" w:rsidRPr="00974F79">
        <w:rPr>
          <w:rFonts w:ascii="Times New Roman" w:hAnsi="Times New Roman" w:cs="Times New Roman"/>
          <w:sz w:val="24"/>
          <w:szCs w:val="24"/>
        </w:rPr>
        <w:t xml:space="preserve">. </w:t>
      </w:r>
      <w:r w:rsidR="00710AF1" w:rsidRPr="00974F79">
        <w:rPr>
          <w:rFonts w:ascii="Times New Roman" w:hAnsi="Times New Roman" w:cs="Times New Roman"/>
          <w:sz w:val="24"/>
          <w:szCs w:val="24"/>
        </w:rPr>
        <w:t xml:space="preserve">With that said, the Supreme Court plays a vital part in resolving the aforementioned disagreements. </w:t>
      </w:r>
      <w:r w:rsidR="0010073B" w:rsidRPr="00974F79">
        <w:rPr>
          <w:rFonts w:ascii="Times New Roman" w:hAnsi="Times New Roman" w:cs="Times New Roman"/>
          <w:sz w:val="24"/>
          <w:szCs w:val="24"/>
        </w:rPr>
        <w:t>Rule 10 of the Supreme Court defines the presence of a circuit split as one of the factors explicitly mentioned as a significant in granting writs of certiorari.</w:t>
      </w:r>
      <w:r w:rsidR="00883370" w:rsidRPr="00974F79">
        <w:rPr>
          <w:rFonts w:ascii="Times New Roman" w:hAnsi="Times New Roman" w:cs="Times New Roman"/>
          <w:sz w:val="24"/>
          <w:szCs w:val="24"/>
        </w:rPr>
        <w:t xml:space="preserve"> </w:t>
      </w:r>
      <w:r w:rsidR="000734AC" w:rsidRPr="00974F79">
        <w:rPr>
          <w:rFonts w:ascii="Times New Roman" w:hAnsi="Times New Roman" w:cs="Times New Roman"/>
          <w:sz w:val="24"/>
          <w:szCs w:val="24"/>
        </w:rPr>
        <w:t xml:space="preserve">An excellent example of a circuit split is the disagreement of the Sixth Circuit and Tenth Circuit with regard to whether police may </w:t>
      </w:r>
      <w:r w:rsidR="000734AC" w:rsidRPr="00974F79">
        <w:rPr>
          <w:rFonts w:ascii="Times New Roman" w:hAnsi="Times New Roman" w:cs="Times New Roman"/>
          <w:sz w:val="24"/>
          <w:szCs w:val="24"/>
        </w:rPr>
        <w:lastRenderedPageBreak/>
        <w:t>seize a person, without a warrant, grounded on the officers’ reasonable suspicion that people being seized committed a</w:t>
      </w:r>
      <w:r w:rsidR="00BA2E75" w:rsidRPr="00974F79">
        <w:rPr>
          <w:rFonts w:ascii="Times New Roman" w:hAnsi="Times New Roman" w:cs="Times New Roman"/>
          <w:sz w:val="24"/>
          <w:szCs w:val="24"/>
        </w:rPr>
        <w:t xml:space="preserve"> </w:t>
      </w:r>
      <w:r w:rsidR="000734AC" w:rsidRPr="00974F79">
        <w:rPr>
          <w:rFonts w:ascii="Times New Roman" w:hAnsi="Times New Roman" w:cs="Times New Roman"/>
          <w:sz w:val="24"/>
          <w:szCs w:val="24"/>
        </w:rPr>
        <w:t xml:space="preserve">misdemeanor. </w:t>
      </w:r>
    </w:p>
    <w:p w:rsidR="00931657" w:rsidRPr="00FE7878" w:rsidRDefault="00793A01" w:rsidP="00FE7878">
      <w:pPr>
        <w:pStyle w:val="ListParagraph"/>
        <w:numPr>
          <w:ilvl w:val="0"/>
          <w:numId w:val="1"/>
        </w:numPr>
        <w:spacing w:after="0" w:line="480" w:lineRule="auto"/>
        <w:rPr>
          <w:rFonts w:ascii="Times New Roman" w:hAnsi="Times New Roman" w:cs="Times New Roman"/>
          <w:b/>
          <w:sz w:val="24"/>
          <w:szCs w:val="24"/>
        </w:rPr>
      </w:pPr>
      <w:r w:rsidRPr="00FE7878">
        <w:rPr>
          <w:rFonts w:ascii="Times New Roman" w:hAnsi="Times New Roman" w:cs="Times New Roman"/>
          <w:b/>
          <w:sz w:val="24"/>
          <w:szCs w:val="24"/>
        </w:rPr>
        <w:t>There is no federal security breach notification law. Consider whether one is needed. Provide</w:t>
      </w:r>
      <w:r w:rsidR="00E44331" w:rsidRPr="00FE7878">
        <w:rPr>
          <w:rFonts w:ascii="Times New Roman" w:hAnsi="Times New Roman" w:cs="Times New Roman"/>
          <w:b/>
          <w:sz w:val="24"/>
          <w:szCs w:val="24"/>
        </w:rPr>
        <w:t xml:space="preserve"> your</w:t>
      </w:r>
      <w:r w:rsidRPr="00FE7878">
        <w:rPr>
          <w:rFonts w:ascii="Times New Roman" w:hAnsi="Times New Roman" w:cs="Times New Roman"/>
          <w:b/>
          <w:sz w:val="24"/>
          <w:szCs w:val="24"/>
        </w:rPr>
        <w:t xml:space="preserve"> recommendation as well as your analysis of the benefits and drawbacks of federal law.</w:t>
      </w:r>
      <w:r w:rsidR="00F769CB" w:rsidRPr="00FE7878">
        <w:rPr>
          <w:rFonts w:ascii="Times New Roman" w:hAnsi="Times New Roman" w:cs="Times New Roman"/>
          <w:b/>
          <w:sz w:val="24"/>
          <w:szCs w:val="24"/>
        </w:rPr>
        <w:t xml:space="preserve"> </w:t>
      </w:r>
      <w:r w:rsidRPr="00FE7878">
        <w:rPr>
          <w:rFonts w:ascii="Times New Roman" w:hAnsi="Times New Roman" w:cs="Times New Roman"/>
          <w:b/>
          <w:sz w:val="24"/>
          <w:szCs w:val="24"/>
        </w:rPr>
        <w:t>Be sure to address the issue of preemption.</w:t>
      </w:r>
    </w:p>
    <w:p w:rsidR="00F36995"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To begin with, fe</w:t>
      </w:r>
      <w:r w:rsidRPr="00974F79">
        <w:rPr>
          <w:rFonts w:ascii="Times New Roman" w:hAnsi="Times New Roman" w:cs="Times New Roman"/>
          <w:sz w:val="24"/>
          <w:szCs w:val="24"/>
        </w:rPr>
        <w:t>deral security breach notification laws are regarded as the laws that need a firm that has been subjected to a data breach to notify its clients as well as other available parties concerning the breach and take considerable steps to remediate injuries cont</w:t>
      </w:r>
      <w:r w:rsidRPr="00974F79">
        <w:rPr>
          <w:rFonts w:ascii="Times New Roman" w:hAnsi="Times New Roman" w:cs="Times New Roman"/>
          <w:sz w:val="24"/>
          <w:szCs w:val="24"/>
        </w:rPr>
        <w:t xml:space="preserve">ributed by the breach. </w:t>
      </w:r>
      <w:r w:rsidR="00A85035" w:rsidRPr="00974F79">
        <w:rPr>
          <w:rFonts w:ascii="Times New Roman" w:hAnsi="Times New Roman" w:cs="Times New Roman"/>
          <w:sz w:val="24"/>
          <w:szCs w:val="24"/>
        </w:rPr>
        <w:t xml:space="preserve">The implementation of the aforementioned law ensures data protection regulation and the burden on firms is minimal, which requires organizations to have knowledge of breaches as well as contact clients. Therefore, the law encourages excellent security without putting limits on the way firms collect or even utilize information. </w:t>
      </w:r>
      <w:r w:rsidR="002A09CA" w:rsidRPr="00974F79">
        <w:rPr>
          <w:rFonts w:ascii="Times New Roman" w:hAnsi="Times New Roman" w:cs="Times New Roman"/>
          <w:sz w:val="24"/>
          <w:szCs w:val="24"/>
        </w:rPr>
        <w:t>With that said, it is clear that the aforementioned law is required</w:t>
      </w:r>
      <w:r w:rsidR="006041C6" w:rsidRPr="00974F79">
        <w:rPr>
          <w:rFonts w:ascii="Times New Roman" w:hAnsi="Times New Roman" w:cs="Times New Roman"/>
          <w:sz w:val="24"/>
          <w:szCs w:val="24"/>
        </w:rPr>
        <w:t xml:space="preserve"> (Joerling, 2010)</w:t>
      </w:r>
      <w:r w:rsidR="002A09CA" w:rsidRPr="00974F79">
        <w:rPr>
          <w:rFonts w:ascii="Times New Roman" w:hAnsi="Times New Roman" w:cs="Times New Roman"/>
          <w:sz w:val="24"/>
          <w:szCs w:val="24"/>
        </w:rPr>
        <w:t xml:space="preserve">. In this case, various governments will require companies to notify individuals affected by breaches involving their sensitive personal data as well as in some cases to enforce data security programs to protect the confidentiality, integrity, as well as security of data. </w:t>
      </w:r>
    </w:p>
    <w:p w:rsidR="000B2A71"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 xml:space="preserve">The </w:t>
      </w:r>
      <w:r w:rsidR="0061039C" w:rsidRPr="00974F79">
        <w:rPr>
          <w:rFonts w:ascii="Times New Roman" w:hAnsi="Times New Roman" w:cs="Times New Roman"/>
          <w:sz w:val="24"/>
          <w:szCs w:val="24"/>
        </w:rPr>
        <w:t xml:space="preserve">recommended </w:t>
      </w:r>
      <w:r w:rsidRPr="00974F79">
        <w:rPr>
          <w:rFonts w:ascii="Times New Roman" w:hAnsi="Times New Roman" w:cs="Times New Roman"/>
          <w:sz w:val="24"/>
          <w:szCs w:val="24"/>
        </w:rPr>
        <w:t>benefits of the aforementioned federal law include data protection, which in turn leads to security of information, confidentiality, as well as integrity.</w:t>
      </w:r>
      <w:r w:rsidR="00E6345D" w:rsidRPr="00974F79">
        <w:rPr>
          <w:rFonts w:ascii="Times New Roman" w:hAnsi="Times New Roman" w:cs="Times New Roman"/>
          <w:sz w:val="24"/>
          <w:szCs w:val="24"/>
        </w:rPr>
        <w:t xml:space="preserve"> On the same note, federal law demands firms to possess substantial information concerning breaches and contact customers. </w:t>
      </w:r>
      <w:r w:rsidR="00FF2D87" w:rsidRPr="00974F79">
        <w:rPr>
          <w:rFonts w:ascii="Times New Roman" w:hAnsi="Times New Roman" w:cs="Times New Roman"/>
          <w:sz w:val="24"/>
          <w:szCs w:val="24"/>
        </w:rPr>
        <w:t xml:space="preserve">Conversely, some of the limitations of this law </w:t>
      </w:r>
      <w:r w:rsidR="005D3CBC" w:rsidRPr="00974F79">
        <w:rPr>
          <w:rFonts w:ascii="Times New Roman" w:hAnsi="Times New Roman" w:cs="Times New Roman"/>
          <w:sz w:val="24"/>
          <w:szCs w:val="24"/>
        </w:rPr>
        <w:t>involve</w:t>
      </w:r>
      <w:r w:rsidR="00FF2D87" w:rsidRPr="00974F79">
        <w:rPr>
          <w:rFonts w:ascii="Times New Roman" w:hAnsi="Times New Roman" w:cs="Times New Roman"/>
          <w:sz w:val="24"/>
          <w:szCs w:val="24"/>
        </w:rPr>
        <w:t xml:space="preserve"> the issue of preemption</w:t>
      </w:r>
      <w:r w:rsidR="00972471" w:rsidRPr="00974F79">
        <w:rPr>
          <w:rFonts w:ascii="Times New Roman" w:hAnsi="Times New Roman" w:cs="Times New Roman"/>
          <w:sz w:val="24"/>
          <w:szCs w:val="24"/>
        </w:rPr>
        <w:t xml:space="preserve"> (Joerling, 2010)</w:t>
      </w:r>
      <w:r w:rsidR="00FF2D87" w:rsidRPr="00974F79">
        <w:rPr>
          <w:rFonts w:ascii="Times New Roman" w:hAnsi="Times New Roman" w:cs="Times New Roman"/>
          <w:sz w:val="24"/>
          <w:szCs w:val="24"/>
        </w:rPr>
        <w:t>.</w:t>
      </w:r>
      <w:r w:rsidR="005D3CBC" w:rsidRPr="00974F79">
        <w:rPr>
          <w:rFonts w:ascii="Times New Roman" w:hAnsi="Times New Roman" w:cs="Times New Roman"/>
          <w:sz w:val="24"/>
          <w:szCs w:val="24"/>
        </w:rPr>
        <w:t xml:space="preserve"> </w:t>
      </w:r>
      <w:r w:rsidR="00507760" w:rsidRPr="00974F79">
        <w:rPr>
          <w:rFonts w:ascii="Times New Roman" w:hAnsi="Times New Roman" w:cs="Times New Roman"/>
          <w:sz w:val="24"/>
          <w:szCs w:val="24"/>
        </w:rPr>
        <w:t xml:space="preserve">In this case, the aforementioned federal law is faced with preemption </w:t>
      </w:r>
      <w:r w:rsidR="00685C14" w:rsidRPr="00974F79">
        <w:rPr>
          <w:rFonts w:ascii="Times New Roman" w:hAnsi="Times New Roman" w:cs="Times New Roman"/>
          <w:sz w:val="24"/>
          <w:szCs w:val="24"/>
        </w:rPr>
        <w:t xml:space="preserve">where the government is deprived of its power to act at all in a particular area and that happens with or without a conflict between federal and state law. </w:t>
      </w:r>
      <w:r w:rsidR="00CD19D8" w:rsidRPr="00974F79">
        <w:rPr>
          <w:rFonts w:ascii="Times New Roman" w:hAnsi="Times New Roman" w:cs="Times New Roman"/>
          <w:sz w:val="24"/>
          <w:szCs w:val="24"/>
        </w:rPr>
        <w:t xml:space="preserve">In case the federal </w:t>
      </w:r>
      <w:r w:rsidR="00CD19D8" w:rsidRPr="00974F79">
        <w:rPr>
          <w:rFonts w:ascii="Times New Roman" w:hAnsi="Times New Roman" w:cs="Times New Roman"/>
          <w:sz w:val="24"/>
          <w:szCs w:val="24"/>
        </w:rPr>
        <w:lastRenderedPageBreak/>
        <w:t xml:space="preserve">government via Congress has enacted legislation on a subject matter, it shall be managing over state laws as well as preclude the state from enacting laws on a similar subject if the Congress has highlighted that it has occupied the field. </w:t>
      </w:r>
      <w:r w:rsidR="00FF2D87" w:rsidRPr="00974F79">
        <w:rPr>
          <w:rFonts w:ascii="Times New Roman" w:hAnsi="Times New Roman" w:cs="Times New Roman"/>
          <w:sz w:val="24"/>
          <w:szCs w:val="24"/>
        </w:rPr>
        <w:t xml:space="preserve"> </w:t>
      </w:r>
      <w:r w:rsidRPr="00974F79">
        <w:rPr>
          <w:rFonts w:ascii="Times New Roman" w:hAnsi="Times New Roman" w:cs="Times New Roman"/>
          <w:sz w:val="24"/>
          <w:szCs w:val="24"/>
        </w:rPr>
        <w:t xml:space="preserve"> </w:t>
      </w:r>
    </w:p>
    <w:p w:rsidR="005C7BB1" w:rsidRPr="00FE7878" w:rsidRDefault="00793A01" w:rsidP="00FE7878">
      <w:pPr>
        <w:pStyle w:val="ListParagraph"/>
        <w:numPr>
          <w:ilvl w:val="0"/>
          <w:numId w:val="1"/>
        </w:numPr>
        <w:spacing w:after="0" w:line="480" w:lineRule="auto"/>
        <w:rPr>
          <w:rFonts w:ascii="Times New Roman" w:hAnsi="Times New Roman" w:cs="Times New Roman"/>
          <w:b/>
          <w:sz w:val="24"/>
          <w:szCs w:val="24"/>
        </w:rPr>
      </w:pPr>
      <w:r w:rsidRPr="00FE7878">
        <w:rPr>
          <w:rFonts w:ascii="Times New Roman" w:hAnsi="Times New Roman" w:cs="Times New Roman"/>
          <w:b/>
          <w:sz w:val="24"/>
          <w:szCs w:val="24"/>
        </w:rPr>
        <w:t>Explain how “fair use” and Digital Rights Management (DRM) relate and coexist with one another.</w:t>
      </w:r>
    </w:p>
    <w:p w:rsidR="00E04786"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To begin with, fair use plays a vital role in serving as a catalyst for innovation as well as a buttress for competition. Notably, fair use serves a vital part in limiting the reach of what would otherwise be an intolerably expansive grant of rights to cop</w:t>
      </w:r>
      <w:r w:rsidRPr="00974F79">
        <w:rPr>
          <w:rFonts w:ascii="Times New Roman" w:hAnsi="Times New Roman" w:cs="Times New Roman"/>
          <w:sz w:val="24"/>
          <w:szCs w:val="24"/>
        </w:rPr>
        <w:t xml:space="preserve">yright owners. On the same note, the </w:t>
      </w:r>
      <w:r w:rsidR="00BC7CB4" w:rsidRPr="00974F79">
        <w:rPr>
          <w:rFonts w:ascii="Times New Roman" w:hAnsi="Times New Roman" w:cs="Times New Roman"/>
          <w:sz w:val="24"/>
          <w:szCs w:val="24"/>
        </w:rPr>
        <w:t>idea of fair use operates as a safety valve free expression as well as mediates</w:t>
      </w:r>
      <w:r w:rsidRPr="00974F79">
        <w:rPr>
          <w:rFonts w:ascii="Times New Roman" w:hAnsi="Times New Roman" w:cs="Times New Roman"/>
          <w:sz w:val="24"/>
          <w:szCs w:val="24"/>
        </w:rPr>
        <w:t xml:space="preserve"> the tension existing between copyright and innovative technologies. D</w:t>
      </w:r>
      <w:r w:rsidR="005541E5" w:rsidRPr="00974F79">
        <w:rPr>
          <w:rFonts w:ascii="Times New Roman" w:hAnsi="Times New Roman" w:cs="Times New Roman"/>
          <w:sz w:val="24"/>
          <w:szCs w:val="24"/>
        </w:rPr>
        <w:t xml:space="preserve">igital rights management </w:t>
      </w:r>
      <w:r w:rsidR="00620D51" w:rsidRPr="00974F79">
        <w:rPr>
          <w:rFonts w:ascii="Times New Roman" w:hAnsi="Times New Roman" w:cs="Times New Roman"/>
          <w:sz w:val="24"/>
          <w:szCs w:val="24"/>
        </w:rPr>
        <w:t>technologies are targeted at heightening the types as well as the scope of control that rights holder scan asserts over their intellectual property assets</w:t>
      </w:r>
      <w:r w:rsidR="002C7AE7" w:rsidRPr="00974F79">
        <w:rPr>
          <w:rFonts w:ascii="Times New Roman" w:hAnsi="Times New Roman" w:cs="Times New Roman"/>
          <w:sz w:val="24"/>
          <w:szCs w:val="24"/>
        </w:rPr>
        <w:t xml:space="preserve"> (</w:t>
      </w:r>
      <w:r w:rsidR="00F007B3" w:rsidRPr="00974F79">
        <w:rPr>
          <w:rFonts w:ascii="Times New Roman" w:hAnsi="Times New Roman" w:cs="Times New Roman"/>
          <w:sz w:val="24"/>
          <w:szCs w:val="24"/>
        </w:rPr>
        <w:t>Ahmad</w:t>
      </w:r>
      <w:r w:rsidR="002C7AE7" w:rsidRPr="00974F79">
        <w:rPr>
          <w:rFonts w:ascii="Times New Roman" w:hAnsi="Times New Roman" w:cs="Times New Roman"/>
          <w:sz w:val="24"/>
          <w:szCs w:val="24"/>
        </w:rPr>
        <w:t xml:space="preserve"> &amp; Chanda, 2011)</w:t>
      </w:r>
      <w:r w:rsidR="00620D51" w:rsidRPr="00974F79">
        <w:rPr>
          <w:rFonts w:ascii="Times New Roman" w:hAnsi="Times New Roman" w:cs="Times New Roman"/>
          <w:sz w:val="24"/>
          <w:szCs w:val="24"/>
        </w:rPr>
        <w:t xml:space="preserve">. </w:t>
      </w:r>
      <w:r w:rsidR="00030C65" w:rsidRPr="00974F79">
        <w:rPr>
          <w:rFonts w:ascii="Times New Roman" w:hAnsi="Times New Roman" w:cs="Times New Roman"/>
          <w:sz w:val="24"/>
          <w:szCs w:val="24"/>
        </w:rPr>
        <w:t xml:space="preserve">It is important to comprehend that digital rights management is a recognized technology that takes part in creating certain conditions concerning the way some digital products are utilized as well as shared. </w:t>
      </w:r>
      <w:r w:rsidRPr="00974F79">
        <w:rPr>
          <w:rFonts w:ascii="Times New Roman" w:hAnsi="Times New Roman" w:cs="Times New Roman"/>
          <w:sz w:val="24"/>
          <w:szCs w:val="24"/>
        </w:rPr>
        <w:t>In particular, this scheme is designed to protect unauthorized duplication and illegal distribution of copyrighted digital products.</w:t>
      </w:r>
    </w:p>
    <w:p w:rsidR="00BC7CB4"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Fair use and digital rights managemen</w:t>
      </w:r>
      <w:r w:rsidRPr="00974F79">
        <w:rPr>
          <w:rFonts w:ascii="Times New Roman" w:hAnsi="Times New Roman" w:cs="Times New Roman"/>
          <w:sz w:val="24"/>
          <w:szCs w:val="24"/>
        </w:rPr>
        <w:t>t relate in that when new technologies develop, courts possess the first chance to apply copyright law to them with the help of Congress. Notably, the concepts help in sparing the technologists, copyright owners, as well as the public from applying to Cong</w:t>
      </w:r>
      <w:r w:rsidRPr="00974F79">
        <w:rPr>
          <w:rFonts w:ascii="Times New Roman" w:hAnsi="Times New Roman" w:cs="Times New Roman"/>
          <w:sz w:val="24"/>
          <w:szCs w:val="24"/>
        </w:rPr>
        <w:t>ress for a legislative solution for every innovative technology that is established. In this case, the fair use doctrine takes part in preserving space for innovation as well as consumer experimentation while leaving the final word to Congress</w:t>
      </w:r>
      <w:r w:rsidR="00655F2F" w:rsidRPr="00974F79">
        <w:rPr>
          <w:rFonts w:ascii="Times New Roman" w:hAnsi="Times New Roman" w:cs="Times New Roman"/>
          <w:sz w:val="24"/>
          <w:szCs w:val="24"/>
        </w:rPr>
        <w:t xml:space="preserve"> (Ahmad &amp; Chanda, 2011)</w:t>
      </w:r>
      <w:r w:rsidRPr="00974F79">
        <w:rPr>
          <w:rFonts w:ascii="Times New Roman" w:hAnsi="Times New Roman" w:cs="Times New Roman"/>
          <w:sz w:val="24"/>
          <w:szCs w:val="24"/>
        </w:rPr>
        <w:t xml:space="preserve">. It is evident that technologists as well as other creative individuals to make use of other </w:t>
      </w:r>
      <w:r w:rsidRPr="00974F79">
        <w:rPr>
          <w:rFonts w:ascii="Times New Roman" w:hAnsi="Times New Roman" w:cs="Times New Roman"/>
          <w:sz w:val="24"/>
          <w:szCs w:val="24"/>
        </w:rPr>
        <w:lastRenderedPageBreak/>
        <w:t>people’s work fair use both fair use and digital rights management. In case the rights holders disagree, the courts have the mandate to intervene and gi</w:t>
      </w:r>
      <w:r w:rsidRPr="00974F79">
        <w:rPr>
          <w:rFonts w:ascii="Times New Roman" w:hAnsi="Times New Roman" w:cs="Times New Roman"/>
          <w:sz w:val="24"/>
          <w:szCs w:val="24"/>
        </w:rPr>
        <w:t xml:space="preserve">ve an effective ruling on the use.  </w:t>
      </w:r>
    </w:p>
    <w:p w:rsidR="00B92428" w:rsidRPr="00FE7878" w:rsidRDefault="00793A01" w:rsidP="00FE7878">
      <w:pPr>
        <w:pStyle w:val="ListParagraph"/>
        <w:numPr>
          <w:ilvl w:val="0"/>
          <w:numId w:val="1"/>
        </w:numPr>
        <w:spacing w:after="0" w:line="480" w:lineRule="auto"/>
        <w:rPr>
          <w:rFonts w:ascii="Times New Roman" w:hAnsi="Times New Roman" w:cs="Times New Roman"/>
          <w:b/>
          <w:sz w:val="24"/>
          <w:szCs w:val="24"/>
        </w:rPr>
      </w:pPr>
      <w:r w:rsidRPr="00FE7878">
        <w:rPr>
          <w:rFonts w:ascii="Times New Roman" w:hAnsi="Times New Roman" w:cs="Times New Roman"/>
          <w:b/>
          <w:sz w:val="24"/>
          <w:szCs w:val="24"/>
        </w:rPr>
        <w:t>In the United States, what is the legal basis for privacy protection? In other words, what can a court rely on to protect a right to privacy? What privacy is protected?</w:t>
      </w:r>
    </w:p>
    <w:p w:rsidR="00BE1F9F"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 xml:space="preserve">The United States Constitution has no </w:t>
      </w:r>
      <w:r w:rsidRPr="00974F79">
        <w:rPr>
          <w:rFonts w:ascii="Times New Roman" w:hAnsi="Times New Roman" w:cs="Times New Roman"/>
          <w:sz w:val="24"/>
          <w:szCs w:val="24"/>
        </w:rPr>
        <w:t>express right to privacy. Nevertheless, the available bill of rights prote</w:t>
      </w:r>
      <w:r w:rsidR="00FE7878">
        <w:rPr>
          <w:rFonts w:ascii="Times New Roman" w:hAnsi="Times New Roman" w:cs="Times New Roman"/>
          <w:sz w:val="24"/>
          <w:szCs w:val="24"/>
        </w:rPr>
        <w:t>c</w:t>
      </w:r>
      <w:r w:rsidRPr="00974F79">
        <w:rPr>
          <w:rFonts w:ascii="Times New Roman" w:hAnsi="Times New Roman" w:cs="Times New Roman"/>
          <w:sz w:val="24"/>
          <w:szCs w:val="24"/>
        </w:rPr>
        <w:t>ts certain factors of privacy including privacy of beliefs, privacy of the home against demands that is used to house soldiers, as well as privacy of the individual as well as posse</w:t>
      </w:r>
      <w:r w:rsidRPr="00974F79">
        <w:rPr>
          <w:rFonts w:ascii="Times New Roman" w:hAnsi="Times New Roman" w:cs="Times New Roman"/>
          <w:sz w:val="24"/>
          <w:szCs w:val="24"/>
        </w:rPr>
        <w:t>ssions as against</w:t>
      </w:r>
      <w:r w:rsidR="00C326CC" w:rsidRPr="00974F79">
        <w:rPr>
          <w:rFonts w:ascii="Times New Roman" w:hAnsi="Times New Roman" w:cs="Times New Roman"/>
          <w:sz w:val="24"/>
          <w:szCs w:val="24"/>
        </w:rPr>
        <w:t xml:space="preserve"> unreasonable searches.</w:t>
      </w:r>
      <w:r w:rsidRPr="00974F79">
        <w:rPr>
          <w:rFonts w:ascii="Times New Roman" w:hAnsi="Times New Roman" w:cs="Times New Roman"/>
          <w:sz w:val="24"/>
          <w:szCs w:val="24"/>
        </w:rPr>
        <w:t xml:space="preserve"> </w:t>
      </w:r>
      <w:r w:rsidR="00A439D8" w:rsidRPr="00974F79">
        <w:rPr>
          <w:rFonts w:ascii="Times New Roman" w:hAnsi="Times New Roman" w:cs="Times New Roman"/>
          <w:sz w:val="24"/>
          <w:szCs w:val="24"/>
        </w:rPr>
        <w:t>T</w:t>
      </w:r>
      <w:r w:rsidR="006347A5" w:rsidRPr="00974F79">
        <w:rPr>
          <w:rFonts w:ascii="Times New Roman" w:hAnsi="Times New Roman" w:cs="Times New Roman"/>
          <w:sz w:val="24"/>
          <w:szCs w:val="24"/>
        </w:rPr>
        <w:t>he legal ground for privacy protection in the U.S. is the fourth amendment act that highlights the demand for the data that belongs to a resident to be held private and their residence as well as their papers without forgetting property</w:t>
      </w:r>
      <w:r w:rsidR="00666759" w:rsidRPr="00974F79">
        <w:rPr>
          <w:rFonts w:ascii="Times New Roman" w:hAnsi="Times New Roman" w:cs="Times New Roman"/>
          <w:sz w:val="24"/>
          <w:szCs w:val="24"/>
        </w:rPr>
        <w:t xml:space="preserve"> (Parker, 2017)</w:t>
      </w:r>
      <w:r w:rsidR="006347A5" w:rsidRPr="00974F79">
        <w:rPr>
          <w:rFonts w:ascii="Times New Roman" w:hAnsi="Times New Roman" w:cs="Times New Roman"/>
          <w:sz w:val="24"/>
          <w:szCs w:val="24"/>
        </w:rPr>
        <w:t>.</w:t>
      </w:r>
      <w:r w:rsidRPr="00974F79">
        <w:rPr>
          <w:rFonts w:ascii="Times New Roman" w:hAnsi="Times New Roman" w:cs="Times New Roman"/>
          <w:sz w:val="24"/>
          <w:szCs w:val="24"/>
        </w:rPr>
        <w:t xml:space="preserve"> The fourth amendment depicts that the right of individuals to be safe as well as secure in their private homes, in their persons, papers, as well as effects should not be violated by unreasonable searches as well as s</w:t>
      </w:r>
      <w:r w:rsidRPr="00974F79">
        <w:rPr>
          <w:rFonts w:ascii="Times New Roman" w:hAnsi="Times New Roman" w:cs="Times New Roman"/>
          <w:sz w:val="24"/>
          <w:szCs w:val="24"/>
        </w:rPr>
        <w:t>eizures without probable cause and with no warrant that is supported by oath and affirmation. The law above is utilized to protect the privacy of the people and make sure that their personal privacy is not invaded by another party as well as utilized again</w:t>
      </w:r>
      <w:r w:rsidRPr="00974F79">
        <w:rPr>
          <w:rFonts w:ascii="Times New Roman" w:hAnsi="Times New Roman" w:cs="Times New Roman"/>
          <w:sz w:val="24"/>
          <w:szCs w:val="24"/>
        </w:rPr>
        <w:t xml:space="preserve">st them. </w:t>
      </w:r>
      <w:r w:rsidR="006347A5" w:rsidRPr="00974F79">
        <w:rPr>
          <w:rFonts w:ascii="Times New Roman" w:hAnsi="Times New Roman" w:cs="Times New Roman"/>
          <w:sz w:val="24"/>
          <w:szCs w:val="24"/>
        </w:rPr>
        <w:t xml:space="preserve"> </w:t>
      </w:r>
    </w:p>
    <w:p w:rsidR="006347A5"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 xml:space="preserve">Notably, the privacy that is protected in this case consists of property privacy, health, information records, and information privacy, as well as personal privacy. It is important to note that the privacy that is protected in the act </w:t>
      </w:r>
      <w:r w:rsidRPr="00974F79">
        <w:rPr>
          <w:rFonts w:ascii="Times New Roman" w:hAnsi="Times New Roman" w:cs="Times New Roman"/>
          <w:sz w:val="24"/>
          <w:szCs w:val="24"/>
        </w:rPr>
        <w:t>presented above or in the aforementioned amendment is the personal privacy of a person. In this case, the privacy required of an individual's property where no authority can be in position to seize or even manage or take over the property of another indivi</w:t>
      </w:r>
      <w:r w:rsidRPr="00974F79">
        <w:rPr>
          <w:rFonts w:ascii="Times New Roman" w:hAnsi="Times New Roman" w:cs="Times New Roman"/>
          <w:sz w:val="24"/>
          <w:szCs w:val="24"/>
        </w:rPr>
        <w:t>dual without the permission of the court</w:t>
      </w:r>
      <w:r w:rsidR="009C0677" w:rsidRPr="00974F79">
        <w:rPr>
          <w:rFonts w:ascii="Times New Roman" w:hAnsi="Times New Roman" w:cs="Times New Roman"/>
          <w:sz w:val="24"/>
          <w:szCs w:val="24"/>
        </w:rPr>
        <w:t xml:space="preserve"> (Parker, 2017)</w:t>
      </w:r>
      <w:r w:rsidRPr="00974F79">
        <w:rPr>
          <w:rFonts w:ascii="Times New Roman" w:hAnsi="Times New Roman" w:cs="Times New Roman"/>
          <w:sz w:val="24"/>
          <w:szCs w:val="24"/>
        </w:rPr>
        <w:t xml:space="preserve">. </w:t>
      </w:r>
      <w:r w:rsidR="00A904E3">
        <w:rPr>
          <w:rFonts w:ascii="Times New Roman" w:hAnsi="Times New Roman" w:cs="Times New Roman"/>
          <w:sz w:val="24"/>
          <w:szCs w:val="24"/>
        </w:rPr>
        <w:t>Moreover</w:t>
      </w:r>
      <w:r w:rsidRPr="00974F79">
        <w:rPr>
          <w:rFonts w:ascii="Times New Roman" w:hAnsi="Times New Roman" w:cs="Times New Roman"/>
          <w:sz w:val="24"/>
          <w:szCs w:val="24"/>
        </w:rPr>
        <w:t xml:space="preserve">, the privacy to </w:t>
      </w:r>
      <w:r w:rsidRPr="00974F79">
        <w:rPr>
          <w:rFonts w:ascii="Times New Roman" w:hAnsi="Times New Roman" w:cs="Times New Roman"/>
          <w:sz w:val="24"/>
          <w:szCs w:val="24"/>
        </w:rPr>
        <w:lastRenderedPageBreak/>
        <w:t xml:space="preserve">information in which no party is allowed to access the information that belongs to another individual without the consent of the parties </w:t>
      </w:r>
      <w:bookmarkStart w:id="0" w:name="_GoBack"/>
      <w:bookmarkEnd w:id="0"/>
      <w:r w:rsidRPr="00974F79">
        <w:rPr>
          <w:rFonts w:ascii="Times New Roman" w:hAnsi="Times New Roman" w:cs="Times New Roman"/>
          <w:sz w:val="24"/>
          <w:szCs w:val="24"/>
        </w:rPr>
        <w:t xml:space="preserve">in the contract. </w:t>
      </w:r>
    </w:p>
    <w:p w:rsidR="004549ED" w:rsidRPr="00FE7878" w:rsidRDefault="00793A01" w:rsidP="00FE7878">
      <w:pPr>
        <w:pStyle w:val="ListParagraph"/>
        <w:numPr>
          <w:ilvl w:val="0"/>
          <w:numId w:val="1"/>
        </w:numPr>
        <w:spacing w:after="0" w:line="480" w:lineRule="auto"/>
        <w:rPr>
          <w:rFonts w:ascii="Times New Roman" w:hAnsi="Times New Roman" w:cs="Times New Roman"/>
          <w:b/>
          <w:sz w:val="24"/>
          <w:szCs w:val="24"/>
        </w:rPr>
      </w:pPr>
      <w:r w:rsidRPr="00FE7878">
        <w:rPr>
          <w:rFonts w:ascii="Times New Roman" w:hAnsi="Times New Roman" w:cs="Times New Roman"/>
          <w:b/>
          <w:sz w:val="24"/>
          <w:szCs w:val="24"/>
        </w:rPr>
        <w:t>Why would a</w:t>
      </w:r>
      <w:r w:rsidRPr="00FE7878">
        <w:rPr>
          <w:rFonts w:ascii="Times New Roman" w:hAnsi="Times New Roman" w:cs="Times New Roman"/>
          <w:b/>
          <w:sz w:val="24"/>
          <w:szCs w:val="24"/>
        </w:rPr>
        <w:t>n application (app) license agreement include a choice of venue clause? What is it? A choice of law clause? What do they mean to you as user? Are you obliged to accept the specified venue/law? Why?</w:t>
      </w:r>
    </w:p>
    <w:p w:rsidR="00421A9B" w:rsidRPr="00974F79" w:rsidRDefault="00793A01" w:rsidP="00974F79">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 xml:space="preserve">It is important to understand that choice of venue clause </w:t>
      </w:r>
      <w:r w:rsidRPr="00974F79">
        <w:rPr>
          <w:rFonts w:ascii="Times New Roman" w:hAnsi="Times New Roman" w:cs="Times New Roman"/>
          <w:sz w:val="24"/>
          <w:szCs w:val="24"/>
        </w:rPr>
        <w:t>is agreeing to submit one’s self in advance to the jurisdiction of a cer</w:t>
      </w:r>
      <w:r w:rsidR="0094119F" w:rsidRPr="00974F79">
        <w:rPr>
          <w:rFonts w:ascii="Times New Roman" w:hAnsi="Times New Roman" w:cs="Times New Roman"/>
          <w:sz w:val="24"/>
          <w:szCs w:val="24"/>
        </w:rPr>
        <w:t>tain venue in case of a dispute. Specifically, this is included in the agreement of an application to offer some type of home-field advantage</w:t>
      </w:r>
      <w:r w:rsidR="00314552" w:rsidRPr="00974F79">
        <w:rPr>
          <w:rFonts w:ascii="Times New Roman" w:hAnsi="Times New Roman" w:cs="Times New Roman"/>
          <w:sz w:val="24"/>
          <w:szCs w:val="24"/>
        </w:rPr>
        <w:t xml:space="preserve">; thus, saving financial </w:t>
      </w:r>
      <w:r w:rsidR="0094119F" w:rsidRPr="00974F79">
        <w:rPr>
          <w:rFonts w:ascii="Times New Roman" w:hAnsi="Times New Roman" w:cs="Times New Roman"/>
          <w:sz w:val="24"/>
          <w:szCs w:val="24"/>
        </w:rPr>
        <w:t xml:space="preserve">resources as well as time for both parties. </w:t>
      </w:r>
      <w:r w:rsidR="00234F36" w:rsidRPr="00974F79">
        <w:rPr>
          <w:rFonts w:ascii="Times New Roman" w:hAnsi="Times New Roman" w:cs="Times New Roman"/>
          <w:sz w:val="24"/>
          <w:szCs w:val="24"/>
        </w:rPr>
        <w:t>With that said, people need to comprehend that software license agreements contain considerable provisions that specify the law that presents a consideration of existing costs and risks</w:t>
      </w:r>
      <w:r w:rsidR="00696261" w:rsidRPr="00974F79">
        <w:rPr>
          <w:rFonts w:ascii="Times New Roman" w:hAnsi="Times New Roman" w:cs="Times New Roman"/>
          <w:sz w:val="24"/>
          <w:szCs w:val="24"/>
        </w:rPr>
        <w:t xml:space="preserve"> (</w:t>
      </w:r>
      <w:r w:rsidR="00D54344" w:rsidRPr="00974F79">
        <w:rPr>
          <w:rFonts w:ascii="Times New Roman" w:hAnsi="Times New Roman" w:cs="Times New Roman"/>
          <w:sz w:val="24"/>
          <w:szCs w:val="24"/>
        </w:rPr>
        <w:t>Knapp, Crystal,</w:t>
      </w:r>
      <w:r w:rsidR="00696261" w:rsidRPr="00974F79">
        <w:rPr>
          <w:rFonts w:ascii="Times New Roman" w:hAnsi="Times New Roman" w:cs="Times New Roman"/>
          <w:sz w:val="24"/>
          <w:szCs w:val="24"/>
        </w:rPr>
        <w:t xml:space="preserve"> &amp; Prince, 2019)</w:t>
      </w:r>
      <w:r w:rsidR="00234F36" w:rsidRPr="00974F79">
        <w:rPr>
          <w:rFonts w:ascii="Times New Roman" w:hAnsi="Times New Roman" w:cs="Times New Roman"/>
          <w:sz w:val="24"/>
          <w:szCs w:val="24"/>
        </w:rPr>
        <w:t>. In view of understanding it, a choice of law clause or proper law clause is a term of an agreement where the parties specify that any dispute arising under the covenant shall be determined in accordance with the law of specific jurisdiction.</w:t>
      </w:r>
    </w:p>
    <w:p w:rsidR="00711F88" w:rsidRPr="00974F79" w:rsidRDefault="00793A01" w:rsidP="001E7ACE">
      <w:pPr>
        <w:spacing w:after="0" w:line="480" w:lineRule="auto"/>
        <w:ind w:firstLine="720"/>
        <w:rPr>
          <w:rFonts w:ascii="Times New Roman" w:hAnsi="Times New Roman" w:cs="Times New Roman"/>
          <w:sz w:val="24"/>
          <w:szCs w:val="24"/>
        </w:rPr>
      </w:pPr>
      <w:r w:rsidRPr="00974F79">
        <w:rPr>
          <w:rFonts w:ascii="Times New Roman" w:hAnsi="Times New Roman" w:cs="Times New Roman"/>
          <w:sz w:val="24"/>
          <w:szCs w:val="24"/>
        </w:rPr>
        <w:t>Resear</w:t>
      </w:r>
      <w:r w:rsidRPr="00974F79">
        <w:rPr>
          <w:rFonts w:ascii="Times New Roman" w:hAnsi="Times New Roman" w:cs="Times New Roman"/>
          <w:sz w:val="24"/>
          <w:szCs w:val="24"/>
        </w:rPr>
        <w:t xml:space="preserve">ch indicates that a governing clause will be found consistently in contracts as well as legal agreements existing between firms and their users. One can typically find the aforementioned clauses in standard terms as well as conditions agreement for mobile </w:t>
      </w:r>
      <w:r w:rsidRPr="00974F79">
        <w:rPr>
          <w:rFonts w:ascii="Times New Roman" w:hAnsi="Times New Roman" w:cs="Times New Roman"/>
          <w:sz w:val="24"/>
          <w:szCs w:val="24"/>
        </w:rPr>
        <w:t xml:space="preserve">apps or even websites. Therefore, the governing law clause is vital when included in an organization's terms and conditions because it plays a crucial role in clarifying a firm's terms to the users. </w:t>
      </w:r>
      <w:r w:rsidR="003A6326" w:rsidRPr="00974F79">
        <w:rPr>
          <w:rFonts w:ascii="Times New Roman" w:hAnsi="Times New Roman" w:cs="Times New Roman"/>
          <w:sz w:val="24"/>
          <w:szCs w:val="24"/>
        </w:rPr>
        <w:t xml:space="preserve">In this case, the more information you can offer to users about the terms they are agreeing to, the better. </w:t>
      </w:r>
      <w:r w:rsidR="00822D11" w:rsidRPr="00974F79">
        <w:rPr>
          <w:rFonts w:ascii="Times New Roman" w:hAnsi="Times New Roman" w:cs="Times New Roman"/>
          <w:sz w:val="24"/>
          <w:szCs w:val="24"/>
        </w:rPr>
        <w:t>On the same note, a</w:t>
      </w:r>
      <w:r w:rsidR="00314552" w:rsidRPr="00974F79">
        <w:rPr>
          <w:rFonts w:ascii="Times New Roman" w:hAnsi="Times New Roman" w:cs="Times New Roman"/>
          <w:sz w:val="24"/>
          <w:szCs w:val="24"/>
        </w:rPr>
        <w:t xml:space="preserve">n individual is not obligated to accept the specified venue, the client and the software owner can negotiate and select more neutral grounds. </w:t>
      </w:r>
      <w:r w:rsidR="00822D11" w:rsidRPr="00974F79">
        <w:rPr>
          <w:rFonts w:ascii="Times New Roman" w:hAnsi="Times New Roman" w:cs="Times New Roman"/>
          <w:sz w:val="24"/>
          <w:szCs w:val="24"/>
        </w:rPr>
        <w:t xml:space="preserve">In simple terms, the </w:t>
      </w:r>
      <w:r w:rsidR="00822D11" w:rsidRPr="00974F79">
        <w:rPr>
          <w:rFonts w:ascii="Times New Roman" w:hAnsi="Times New Roman" w:cs="Times New Roman"/>
          <w:sz w:val="24"/>
          <w:szCs w:val="24"/>
        </w:rPr>
        <w:lastRenderedPageBreak/>
        <w:t>clause as mentioned earlier enables individuals to agree to submit one' self in advance to the jurisdiction of a particular venue in case of a dispute.</w:t>
      </w:r>
    </w:p>
    <w:p w:rsidR="001E7ACE" w:rsidRDefault="00793A01" w:rsidP="00974F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C110C" w:rsidRPr="00974F79" w:rsidRDefault="00793A01" w:rsidP="00974F79">
      <w:pPr>
        <w:spacing w:after="0" w:line="480" w:lineRule="auto"/>
        <w:jc w:val="center"/>
        <w:rPr>
          <w:rFonts w:ascii="Times New Roman" w:hAnsi="Times New Roman" w:cs="Times New Roman"/>
          <w:sz w:val="24"/>
          <w:szCs w:val="24"/>
        </w:rPr>
      </w:pPr>
      <w:r w:rsidRPr="00974F79">
        <w:rPr>
          <w:rFonts w:ascii="Times New Roman" w:hAnsi="Times New Roman" w:cs="Times New Roman"/>
          <w:sz w:val="24"/>
          <w:szCs w:val="24"/>
        </w:rPr>
        <w:lastRenderedPageBreak/>
        <w:t>References</w:t>
      </w:r>
    </w:p>
    <w:p w:rsidR="001E7ACE" w:rsidRPr="00974F79" w:rsidRDefault="00793A01" w:rsidP="00974F79">
      <w:pPr>
        <w:spacing w:after="0" w:line="480" w:lineRule="auto"/>
        <w:ind w:left="720" w:hanging="720"/>
        <w:rPr>
          <w:rFonts w:ascii="Times New Roman" w:hAnsi="Times New Roman" w:cs="Times New Roman"/>
          <w:sz w:val="24"/>
          <w:szCs w:val="24"/>
        </w:rPr>
      </w:pPr>
      <w:r w:rsidRPr="00974F79">
        <w:rPr>
          <w:rFonts w:ascii="Times New Roman" w:hAnsi="Times New Roman" w:cs="Times New Roman"/>
          <w:sz w:val="24"/>
          <w:szCs w:val="24"/>
        </w:rPr>
        <w:t>Ahmad, T., &amp; Chanda, R. (2011). Fair Use and Digital Rights Management in the Light of US Laws.</w:t>
      </w:r>
    </w:p>
    <w:p w:rsidR="001E7ACE" w:rsidRPr="00974F79" w:rsidRDefault="00793A01" w:rsidP="00974F79">
      <w:pPr>
        <w:spacing w:after="0" w:line="480" w:lineRule="auto"/>
        <w:ind w:left="720" w:hanging="720"/>
        <w:rPr>
          <w:rFonts w:ascii="Times New Roman" w:hAnsi="Times New Roman" w:cs="Times New Roman"/>
          <w:sz w:val="24"/>
          <w:szCs w:val="24"/>
        </w:rPr>
      </w:pPr>
      <w:r w:rsidRPr="00974F79">
        <w:rPr>
          <w:rFonts w:ascii="Times New Roman" w:hAnsi="Times New Roman" w:cs="Times New Roman"/>
          <w:sz w:val="24"/>
          <w:szCs w:val="24"/>
        </w:rPr>
        <w:t xml:space="preserve">Beim, D., &amp; </w:t>
      </w:r>
      <w:r w:rsidRPr="00974F79">
        <w:rPr>
          <w:rFonts w:ascii="Times New Roman" w:hAnsi="Times New Roman" w:cs="Times New Roman"/>
          <w:sz w:val="24"/>
          <w:szCs w:val="24"/>
        </w:rPr>
        <w:t>Rader, K. (2015). Evolution of Conflict in the Courts of Appeals. </w:t>
      </w:r>
      <w:r w:rsidRPr="00974F79">
        <w:rPr>
          <w:rFonts w:ascii="Times New Roman" w:hAnsi="Times New Roman" w:cs="Times New Roman"/>
          <w:i/>
          <w:iCs/>
          <w:sz w:val="24"/>
          <w:szCs w:val="24"/>
        </w:rPr>
        <w:t>Available at SSRN 2623304</w:t>
      </w:r>
      <w:r w:rsidRPr="00974F79">
        <w:rPr>
          <w:rFonts w:ascii="Times New Roman" w:hAnsi="Times New Roman" w:cs="Times New Roman"/>
          <w:sz w:val="24"/>
          <w:szCs w:val="24"/>
        </w:rPr>
        <w:t>.</w:t>
      </w:r>
    </w:p>
    <w:p w:rsidR="001E7ACE" w:rsidRPr="00974F79" w:rsidRDefault="00793A01" w:rsidP="00974F79">
      <w:pPr>
        <w:spacing w:after="0" w:line="480" w:lineRule="auto"/>
        <w:ind w:left="720" w:hanging="720"/>
        <w:rPr>
          <w:rFonts w:ascii="Times New Roman" w:hAnsi="Times New Roman" w:cs="Times New Roman"/>
          <w:sz w:val="24"/>
          <w:szCs w:val="24"/>
        </w:rPr>
      </w:pPr>
      <w:r w:rsidRPr="00974F79">
        <w:rPr>
          <w:rFonts w:ascii="Times New Roman" w:hAnsi="Times New Roman" w:cs="Times New Roman"/>
          <w:sz w:val="24"/>
          <w:szCs w:val="24"/>
        </w:rPr>
        <w:t>Joerling, J. (2010). Data breach notification laws: An argument for a comprehensive federal law to protect consumer data. </w:t>
      </w:r>
      <w:r w:rsidRPr="00974F79">
        <w:rPr>
          <w:rFonts w:ascii="Times New Roman" w:hAnsi="Times New Roman" w:cs="Times New Roman"/>
          <w:i/>
          <w:iCs/>
          <w:sz w:val="24"/>
          <w:szCs w:val="24"/>
        </w:rPr>
        <w:t>Wash. UJL &amp; Pol'y</w:t>
      </w:r>
      <w:r w:rsidRPr="00974F79">
        <w:rPr>
          <w:rFonts w:ascii="Times New Roman" w:hAnsi="Times New Roman" w:cs="Times New Roman"/>
          <w:sz w:val="24"/>
          <w:szCs w:val="24"/>
        </w:rPr>
        <w:t>, </w:t>
      </w:r>
      <w:r w:rsidRPr="00974F79">
        <w:rPr>
          <w:rFonts w:ascii="Times New Roman" w:hAnsi="Times New Roman" w:cs="Times New Roman"/>
          <w:i/>
          <w:iCs/>
          <w:sz w:val="24"/>
          <w:szCs w:val="24"/>
        </w:rPr>
        <w:t>32</w:t>
      </w:r>
      <w:r w:rsidRPr="00974F79">
        <w:rPr>
          <w:rFonts w:ascii="Times New Roman" w:hAnsi="Times New Roman" w:cs="Times New Roman"/>
          <w:sz w:val="24"/>
          <w:szCs w:val="24"/>
        </w:rPr>
        <w:t>, 467.</w:t>
      </w:r>
    </w:p>
    <w:p w:rsidR="001E7ACE" w:rsidRPr="00974F79" w:rsidRDefault="00793A01" w:rsidP="00974F79">
      <w:pPr>
        <w:spacing w:after="0" w:line="480" w:lineRule="auto"/>
        <w:ind w:left="720" w:hanging="720"/>
        <w:rPr>
          <w:rFonts w:ascii="Times New Roman" w:hAnsi="Times New Roman" w:cs="Times New Roman"/>
          <w:sz w:val="24"/>
          <w:szCs w:val="24"/>
        </w:rPr>
      </w:pPr>
      <w:r w:rsidRPr="00974F79">
        <w:rPr>
          <w:rFonts w:ascii="Times New Roman" w:hAnsi="Times New Roman" w:cs="Times New Roman"/>
          <w:sz w:val="24"/>
          <w:szCs w:val="24"/>
        </w:rPr>
        <w:t>Knapp, C. L.,</w:t>
      </w:r>
      <w:r w:rsidRPr="00974F79">
        <w:rPr>
          <w:rFonts w:ascii="Times New Roman" w:hAnsi="Times New Roman" w:cs="Times New Roman"/>
          <w:sz w:val="24"/>
          <w:szCs w:val="24"/>
        </w:rPr>
        <w:t xml:space="preserve"> Crystal, N. M., &amp; Prince, H. G. (2019). </w:t>
      </w:r>
      <w:r w:rsidRPr="00974F79">
        <w:rPr>
          <w:rFonts w:ascii="Times New Roman" w:hAnsi="Times New Roman" w:cs="Times New Roman"/>
          <w:i/>
          <w:iCs/>
          <w:sz w:val="24"/>
          <w:szCs w:val="24"/>
        </w:rPr>
        <w:t>Problems in Contract Law: cases and materials</w:t>
      </w:r>
      <w:r w:rsidRPr="00974F79">
        <w:rPr>
          <w:rFonts w:ascii="Times New Roman" w:hAnsi="Times New Roman" w:cs="Times New Roman"/>
          <w:sz w:val="24"/>
          <w:szCs w:val="24"/>
        </w:rPr>
        <w:t>. Wolters Kluwer.</w:t>
      </w:r>
    </w:p>
    <w:p w:rsidR="001E7ACE" w:rsidRPr="00974F79" w:rsidRDefault="00793A01" w:rsidP="001E7ACE">
      <w:pPr>
        <w:spacing w:after="0" w:line="480" w:lineRule="auto"/>
        <w:ind w:left="720" w:hanging="720"/>
        <w:rPr>
          <w:rFonts w:ascii="Times New Roman" w:hAnsi="Times New Roman" w:cs="Times New Roman"/>
          <w:sz w:val="24"/>
          <w:szCs w:val="24"/>
        </w:rPr>
      </w:pPr>
      <w:r w:rsidRPr="00974F79">
        <w:rPr>
          <w:rFonts w:ascii="Times New Roman" w:hAnsi="Times New Roman" w:cs="Times New Roman"/>
          <w:sz w:val="24"/>
          <w:szCs w:val="24"/>
        </w:rPr>
        <w:t>Parker, R. B. (2017). A definition of privacy. In </w:t>
      </w:r>
      <w:r w:rsidRPr="00974F79">
        <w:rPr>
          <w:rFonts w:ascii="Times New Roman" w:hAnsi="Times New Roman" w:cs="Times New Roman"/>
          <w:i/>
          <w:iCs/>
          <w:sz w:val="24"/>
          <w:szCs w:val="24"/>
        </w:rPr>
        <w:t>Privacy</w:t>
      </w:r>
      <w:r w:rsidRPr="00974F79">
        <w:rPr>
          <w:rFonts w:ascii="Times New Roman" w:hAnsi="Times New Roman" w:cs="Times New Roman"/>
          <w:sz w:val="24"/>
          <w:szCs w:val="24"/>
        </w:rPr>
        <w:t> (pp. 83-104). Routledge.</w:t>
      </w:r>
    </w:p>
    <w:sectPr w:rsidR="001E7ACE" w:rsidRPr="00974F79" w:rsidSect="00706B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A01" w:rsidRDefault="00793A01">
      <w:pPr>
        <w:spacing w:after="0" w:line="240" w:lineRule="auto"/>
      </w:pPr>
      <w:r>
        <w:separator/>
      </w:r>
    </w:p>
  </w:endnote>
  <w:endnote w:type="continuationSeparator" w:id="0">
    <w:p w:rsidR="00793A01" w:rsidRDefault="00793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A01" w:rsidRDefault="00793A01">
      <w:pPr>
        <w:spacing w:after="0" w:line="240" w:lineRule="auto"/>
      </w:pPr>
      <w:r>
        <w:separator/>
      </w:r>
    </w:p>
  </w:footnote>
  <w:footnote w:type="continuationSeparator" w:id="0">
    <w:p w:rsidR="00793A01" w:rsidRDefault="00793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B5C" w:rsidRPr="0063038D" w:rsidRDefault="00793A01">
    <w:pPr>
      <w:pStyle w:val="Header"/>
      <w:rPr>
        <w:rFonts w:ascii="Times New Roman" w:hAnsi="Times New Roman" w:cs="Times New Roman"/>
        <w:sz w:val="24"/>
        <w:szCs w:val="24"/>
      </w:rPr>
    </w:pPr>
    <w:r w:rsidRPr="00706B5C">
      <w:rPr>
        <w:rFonts w:ascii="Times New Roman" w:hAnsi="Times New Roman" w:cs="Times New Roman"/>
        <w:sz w:val="24"/>
        <w:szCs w:val="24"/>
      </w:rPr>
      <w:t xml:space="preserve">MID-TERM QUESTIONS </w:t>
    </w:r>
    <w:sdt>
      <w:sdtPr>
        <w:rPr>
          <w:rFonts w:ascii="Times New Roman" w:hAnsi="Times New Roman" w:cs="Times New Roman"/>
          <w:sz w:val="24"/>
          <w:szCs w:val="24"/>
        </w:rPr>
        <w:id w:val="-2797324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06B5C">
          <w:rPr>
            <w:rFonts w:ascii="Times New Roman" w:hAnsi="Times New Roman" w:cs="Times New Roman"/>
            <w:sz w:val="24"/>
            <w:szCs w:val="24"/>
          </w:rPr>
          <w:fldChar w:fldCharType="begin"/>
        </w:r>
        <w:r w:rsidRPr="00706B5C">
          <w:rPr>
            <w:rFonts w:ascii="Times New Roman" w:hAnsi="Times New Roman" w:cs="Times New Roman"/>
            <w:sz w:val="24"/>
            <w:szCs w:val="24"/>
          </w:rPr>
          <w:instrText xml:space="preserve"> PAGE   \* MERGEFORMAT </w:instrText>
        </w:r>
        <w:r w:rsidRPr="00706B5C">
          <w:rPr>
            <w:rFonts w:ascii="Times New Roman" w:hAnsi="Times New Roman" w:cs="Times New Roman"/>
            <w:sz w:val="24"/>
            <w:szCs w:val="24"/>
          </w:rPr>
          <w:fldChar w:fldCharType="separate"/>
        </w:r>
        <w:r w:rsidR="00711F88">
          <w:rPr>
            <w:rFonts w:ascii="Times New Roman" w:hAnsi="Times New Roman" w:cs="Times New Roman"/>
            <w:noProof/>
            <w:sz w:val="24"/>
            <w:szCs w:val="24"/>
          </w:rPr>
          <w:t>8</w:t>
        </w:r>
        <w:r w:rsidRPr="00706B5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B5C" w:rsidRPr="00473A5C" w:rsidRDefault="00793A01">
    <w:pPr>
      <w:pStyle w:val="Header"/>
      <w:rPr>
        <w:rFonts w:ascii="Times New Roman" w:hAnsi="Times New Roman" w:cs="Times New Roman"/>
      </w:rPr>
    </w:pPr>
    <w:r w:rsidRPr="00473A5C">
      <w:rPr>
        <w:rFonts w:ascii="Times New Roman" w:hAnsi="Times New Roman" w:cs="Times New Roman"/>
      </w:rPr>
      <w:t xml:space="preserve">Running head: MID-TERM QUESTIONS </w:t>
    </w:r>
    <w:sdt>
      <w:sdtPr>
        <w:rPr>
          <w:rFonts w:ascii="Times New Roman" w:hAnsi="Times New Roman" w:cs="Times New Roman"/>
        </w:rPr>
        <w:id w:val="-2050755662"/>
        <w:docPartObj>
          <w:docPartGallery w:val="Page Numbers (Top of Page)"/>
          <w:docPartUnique/>
        </w:docPartObj>
      </w:sdtPr>
      <w:sdtEndPr>
        <w:rPr>
          <w:noProof/>
        </w:rPr>
      </w:sdtEndPr>
      <w:sdtContent>
        <w:r w:rsidRPr="00473A5C">
          <w:rPr>
            <w:rFonts w:ascii="Times New Roman" w:hAnsi="Times New Roman" w:cs="Times New Roman"/>
          </w:rPr>
          <w:tab/>
        </w:r>
        <w:r w:rsidRPr="00473A5C">
          <w:rPr>
            <w:rFonts w:ascii="Times New Roman" w:hAnsi="Times New Roman" w:cs="Times New Roman"/>
          </w:rPr>
          <w:tab/>
        </w:r>
        <w:r w:rsidRPr="00473A5C">
          <w:rPr>
            <w:rFonts w:ascii="Times New Roman" w:hAnsi="Times New Roman" w:cs="Times New Roman"/>
          </w:rPr>
          <w:fldChar w:fldCharType="begin"/>
        </w:r>
        <w:r w:rsidRPr="00473A5C">
          <w:rPr>
            <w:rFonts w:ascii="Times New Roman" w:hAnsi="Times New Roman" w:cs="Times New Roman"/>
          </w:rPr>
          <w:instrText xml:space="preserve"> PAGE   \* MERGEFORMAT </w:instrText>
        </w:r>
        <w:r w:rsidRPr="00473A5C">
          <w:rPr>
            <w:rFonts w:ascii="Times New Roman" w:hAnsi="Times New Roman" w:cs="Times New Roman"/>
          </w:rPr>
          <w:fldChar w:fldCharType="separate"/>
        </w:r>
        <w:r w:rsidR="005C4CAE" w:rsidRPr="00473A5C">
          <w:rPr>
            <w:rFonts w:ascii="Times New Roman" w:hAnsi="Times New Roman" w:cs="Times New Roman"/>
            <w:noProof/>
          </w:rPr>
          <w:t>1</w:t>
        </w:r>
        <w:r w:rsidRPr="00473A5C">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DB0B4C"/>
    <w:multiLevelType w:val="hybridMultilevel"/>
    <w:tmpl w:val="261E965C"/>
    <w:lvl w:ilvl="0" w:tplc="1F881D76">
      <w:start w:val="1"/>
      <w:numFmt w:val="decimal"/>
      <w:lvlText w:val="%1."/>
      <w:lvlJc w:val="left"/>
      <w:pPr>
        <w:ind w:left="720" w:hanging="360"/>
      </w:pPr>
      <w:rPr>
        <w:rFonts w:hint="default"/>
      </w:rPr>
    </w:lvl>
    <w:lvl w:ilvl="1" w:tplc="9364DBDE" w:tentative="1">
      <w:start w:val="1"/>
      <w:numFmt w:val="lowerLetter"/>
      <w:lvlText w:val="%2."/>
      <w:lvlJc w:val="left"/>
      <w:pPr>
        <w:ind w:left="1440" w:hanging="360"/>
      </w:pPr>
    </w:lvl>
    <w:lvl w:ilvl="2" w:tplc="848C53DA" w:tentative="1">
      <w:start w:val="1"/>
      <w:numFmt w:val="lowerRoman"/>
      <w:lvlText w:val="%3."/>
      <w:lvlJc w:val="right"/>
      <w:pPr>
        <w:ind w:left="2160" w:hanging="180"/>
      </w:pPr>
    </w:lvl>
    <w:lvl w:ilvl="3" w:tplc="5DC0EC7A" w:tentative="1">
      <w:start w:val="1"/>
      <w:numFmt w:val="decimal"/>
      <w:lvlText w:val="%4."/>
      <w:lvlJc w:val="left"/>
      <w:pPr>
        <w:ind w:left="2880" w:hanging="360"/>
      </w:pPr>
    </w:lvl>
    <w:lvl w:ilvl="4" w:tplc="B9BC0A84" w:tentative="1">
      <w:start w:val="1"/>
      <w:numFmt w:val="lowerLetter"/>
      <w:lvlText w:val="%5."/>
      <w:lvlJc w:val="left"/>
      <w:pPr>
        <w:ind w:left="3600" w:hanging="360"/>
      </w:pPr>
    </w:lvl>
    <w:lvl w:ilvl="5" w:tplc="DFA8BDAA" w:tentative="1">
      <w:start w:val="1"/>
      <w:numFmt w:val="lowerRoman"/>
      <w:lvlText w:val="%6."/>
      <w:lvlJc w:val="right"/>
      <w:pPr>
        <w:ind w:left="4320" w:hanging="180"/>
      </w:pPr>
    </w:lvl>
    <w:lvl w:ilvl="6" w:tplc="C764E314" w:tentative="1">
      <w:start w:val="1"/>
      <w:numFmt w:val="decimal"/>
      <w:lvlText w:val="%7."/>
      <w:lvlJc w:val="left"/>
      <w:pPr>
        <w:ind w:left="5040" w:hanging="360"/>
      </w:pPr>
    </w:lvl>
    <w:lvl w:ilvl="7" w:tplc="2E5AC026" w:tentative="1">
      <w:start w:val="1"/>
      <w:numFmt w:val="lowerLetter"/>
      <w:lvlText w:val="%8."/>
      <w:lvlJc w:val="left"/>
      <w:pPr>
        <w:ind w:left="5760" w:hanging="360"/>
      </w:pPr>
    </w:lvl>
    <w:lvl w:ilvl="8" w:tplc="F788C3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236"/>
    <w:rsid w:val="00027A86"/>
    <w:rsid w:val="00030C65"/>
    <w:rsid w:val="00035A55"/>
    <w:rsid w:val="000734AC"/>
    <w:rsid w:val="00087004"/>
    <w:rsid w:val="00094DD7"/>
    <w:rsid w:val="000B2A71"/>
    <w:rsid w:val="000C3236"/>
    <w:rsid w:val="0010073B"/>
    <w:rsid w:val="00125AD7"/>
    <w:rsid w:val="00131534"/>
    <w:rsid w:val="001A78BA"/>
    <w:rsid w:val="001E7ACE"/>
    <w:rsid w:val="00234F36"/>
    <w:rsid w:val="002A09CA"/>
    <w:rsid w:val="002B187F"/>
    <w:rsid w:val="002C7AE7"/>
    <w:rsid w:val="00314552"/>
    <w:rsid w:val="003A6326"/>
    <w:rsid w:val="003B424C"/>
    <w:rsid w:val="003B54C0"/>
    <w:rsid w:val="00415ED3"/>
    <w:rsid w:val="00421A9B"/>
    <w:rsid w:val="0043702B"/>
    <w:rsid w:val="004549ED"/>
    <w:rsid w:val="00473A5C"/>
    <w:rsid w:val="004F5052"/>
    <w:rsid w:val="00507760"/>
    <w:rsid w:val="005203C7"/>
    <w:rsid w:val="005541E5"/>
    <w:rsid w:val="00575524"/>
    <w:rsid w:val="00582FE2"/>
    <w:rsid w:val="005C4CAE"/>
    <w:rsid w:val="005C7BB1"/>
    <w:rsid w:val="005D3CBC"/>
    <w:rsid w:val="006041C6"/>
    <w:rsid w:val="0061039C"/>
    <w:rsid w:val="00612FE3"/>
    <w:rsid w:val="00620D51"/>
    <w:rsid w:val="0063038D"/>
    <w:rsid w:val="006347A5"/>
    <w:rsid w:val="00655F2F"/>
    <w:rsid w:val="00666759"/>
    <w:rsid w:val="0068267D"/>
    <w:rsid w:val="00685C14"/>
    <w:rsid w:val="00696261"/>
    <w:rsid w:val="00706B5C"/>
    <w:rsid w:val="00710AF1"/>
    <w:rsid w:val="00711F88"/>
    <w:rsid w:val="00793A01"/>
    <w:rsid w:val="00822D11"/>
    <w:rsid w:val="00841DCD"/>
    <w:rsid w:val="00883370"/>
    <w:rsid w:val="00884C2D"/>
    <w:rsid w:val="008D7720"/>
    <w:rsid w:val="008E5BB5"/>
    <w:rsid w:val="009201DC"/>
    <w:rsid w:val="00931657"/>
    <w:rsid w:val="0094119F"/>
    <w:rsid w:val="00960A93"/>
    <w:rsid w:val="00972471"/>
    <w:rsid w:val="00974F79"/>
    <w:rsid w:val="009C0677"/>
    <w:rsid w:val="009C588B"/>
    <w:rsid w:val="00A35D17"/>
    <w:rsid w:val="00A439D8"/>
    <w:rsid w:val="00A61BE3"/>
    <w:rsid w:val="00A83DD3"/>
    <w:rsid w:val="00A85035"/>
    <w:rsid w:val="00A904E3"/>
    <w:rsid w:val="00A90733"/>
    <w:rsid w:val="00B92428"/>
    <w:rsid w:val="00BA2E75"/>
    <w:rsid w:val="00BC7CB4"/>
    <w:rsid w:val="00BD52EB"/>
    <w:rsid w:val="00BE1F9F"/>
    <w:rsid w:val="00C326CC"/>
    <w:rsid w:val="00C64859"/>
    <w:rsid w:val="00C66CA8"/>
    <w:rsid w:val="00C66F6F"/>
    <w:rsid w:val="00C92E1E"/>
    <w:rsid w:val="00CC110C"/>
    <w:rsid w:val="00CC4FD1"/>
    <w:rsid w:val="00CC7419"/>
    <w:rsid w:val="00CD19D8"/>
    <w:rsid w:val="00D54344"/>
    <w:rsid w:val="00DC5705"/>
    <w:rsid w:val="00DE703D"/>
    <w:rsid w:val="00E04786"/>
    <w:rsid w:val="00E44331"/>
    <w:rsid w:val="00E479A8"/>
    <w:rsid w:val="00E6345D"/>
    <w:rsid w:val="00E846FD"/>
    <w:rsid w:val="00EF3B4E"/>
    <w:rsid w:val="00F007B3"/>
    <w:rsid w:val="00F06516"/>
    <w:rsid w:val="00F26563"/>
    <w:rsid w:val="00F36995"/>
    <w:rsid w:val="00F769CB"/>
    <w:rsid w:val="00FE7878"/>
    <w:rsid w:val="00FF2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09EA"/>
  <w15:chartTrackingRefBased/>
  <w15:docId w15:val="{62120853-5A27-456E-AB0A-1AED91D3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C2D"/>
    <w:pPr>
      <w:ind w:left="720"/>
      <w:contextualSpacing/>
    </w:pPr>
  </w:style>
  <w:style w:type="paragraph" w:styleId="Header">
    <w:name w:val="header"/>
    <w:basedOn w:val="Normal"/>
    <w:link w:val="HeaderChar"/>
    <w:uiPriority w:val="99"/>
    <w:unhideWhenUsed/>
    <w:rsid w:val="00706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B5C"/>
  </w:style>
  <w:style w:type="paragraph" w:styleId="Footer">
    <w:name w:val="footer"/>
    <w:basedOn w:val="Normal"/>
    <w:link w:val="FooterChar"/>
    <w:uiPriority w:val="99"/>
    <w:unhideWhenUsed/>
    <w:rsid w:val="00706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8</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165</cp:revision>
  <dcterms:created xsi:type="dcterms:W3CDTF">2019-03-21T04:24:00Z</dcterms:created>
  <dcterms:modified xsi:type="dcterms:W3CDTF">2019-03-21T17:46:00Z</dcterms:modified>
</cp:coreProperties>
</file>